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CE72" w14:textId="4A237C6E" w:rsidR="00620F38" w:rsidRDefault="00620F38" w:rsidP="00620F38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5E5F66"/>
          <w:sz w:val="20"/>
          <w:szCs w:val="20"/>
        </w:rPr>
      </w:pPr>
      <w:r>
        <w:rPr>
          <w:noProof/>
        </w:rPr>
        <w:drawing>
          <wp:inline distT="0" distB="0" distL="0" distR="0" wp14:anchorId="4E69519D" wp14:editId="6D8DC23A">
            <wp:extent cx="4108450" cy="1412058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2129" cy="143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C3B4" w14:textId="4905F7B6" w:rsidR="00291B5E" w:rsidRPr="00291B5E" w:rsidRDefault="00291B5E" w:rsidP="00291B5E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color w:val="5E5F66"/>
          <w:sz w:val="20"/>
          <w:szCs w:val="20"/>
        </w:rPr>
        <w:t>Below you can find a list of additional websites offering resources for librarians and researchers.</w:t>
      </w:r>
    </w:p>
    <w:p w14:paraId="2C8BA00A" w14:textId="081BDB2C" w:rsidR="009449CB" w:rsidRPr="00F0462F" w:rsidRDefault="005E0EA8" w:rsidP="00F0462F">
      <w:pPr>
        <w:shd w:val="clear" w:color="auto" w:fill="FFFFFF"/>
        <w:rPr>
          <w:rFonts w:ascii="Arial" w:eastAsia="Times New Roman" w:hAnsi="Arial" w:cs="Arial"/>
          <w:color w:val="5E5F66"/>
          <w:sz w:val="20"/>
          <w:szCs w:val="20"/>
        </w:rPr>
      </w:pPr>
      <w:hyperlink r:id="rId6" w:history="1">
        <w:r w:rsidR="00291B5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AuthorAID</w:t>
        </w:r>
      </w:hyperlink>
      <w:r w:rsidR="00F0462F">
        <w:rPr>
          <w:rFonts w:ascii="Arial" w:eastAsia="Times New Roman" w:hAnsi="Arial" w:cs="Arial"/>
          <w:color w:val="50B948"/>
          <w:sz w:val="20"/>
          <w:szCs w:val="20"/>
          <w:u w:val="single"/>
        </w:rPr>
        <w:t>: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 is a free international research community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 sponsored by INASP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. 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T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he goal 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is to help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 researchers in developing countries to publish and communicate their work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>.  Key sections include Resources with n</w:t>
      </w:r>
      <w:r w:rsidR="002C2F91" w:rsidRPr="00F0462F">
        <w:rPr>
          <w:rFonts w:ascii="Arial" w:hAnsi="Arial" w:cs="Arial"/>
          <w:color w:val="5E5F66"/>
          <w:sz w:val="20"/>
          <w:szCs w:val="20"/>
        </w:rPr>
        <w:t>umerous documents</w:t>
      </w:r>
      <w:r w:rsidR="00732B39">
        <w:rPr>
          <w:rFonts w:ascii="Arial" w:hAnsi="Arial" w:cs="Arial"/>
          <w:color w:val="5E5F66"/>
          <w:sz w:val="20"/>
          <w:szCs w:val="20"/>
        </w:rPr>
        <w:t xml:space="preserve"> (500+)</w:t>
      </w:r>
      <w:r w:rsidR="002C2F91" w:rsidRPr="00F0462F">
        <w:rPr>
          <w:rFonts w:ascii="Arial" w:hAnsi="Arial" w:cs="Arial"/>
          <w:color w:val="5E5F66"/>
          <w:sz w:val="20"/>
          <w:szCs w:val="20"/>
        </w:rPr>
        <w:t xml:space="preserve"> and presentations on ‘best practices’ in writing and publication </w:t>
      </w:r>
      <w:r w:rsidR="00F0462F">
        <w:rPr>
          <w:rFonts w:ascii="Arial" w:hAnsi="Arial" w:cs="Arial"/>
          <w:color w:val="5E5F66"/>
          <w:sz w:val="20"/>
          <w:szCs w:val="20"/>
        </w:rPr>
        <w:t xml:space="preserve">and Mentoring &amp; Collaboration with researchers and 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>professional editors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.  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The site a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>lso contains a Discussion Forum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.</w:t>
      </w:r>
    </w:p>
    <w:p w14:paraId="1B0543A0" w14:textId="3F2C0261" w:rsidR="00291B5E" w:rsidRPr="00291B5E" w:rsidRDefault="00291B5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noProof/>
          <w:color w:val="5E5F66"/>
          <w:sz w:val="20"/>
          <w:szCs w:val="20"/>
        </w:rPr>
        <w:drawing>
          <wp:inline distT="0" distB="0" distL="0" distR="0" wp14:anchorId="72E4AC11" wp14:editId="0703FDCB">
            <wp:extent cx="1720850" cy="349250"/>
            <wp:effectExtent l="0" t="0" r="0" b="0"/>
            <wp:docPr id="7" name="Picture 7" descr="http://www.authoraid.info/static/img/authoraid-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horaid.info/static/img/authoraid-logo-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B5E">
        <w:rPr>
          <w:rFonts w:ascii="Arial" w:eastAsia="Times New Roman" w:hAnsi="Arial" w:cs="Arial"/>
          <w:color w:val="5E5F66"/>
          <w:sz w:val="20"/>
          <w:szCs w:val="20"/>
        </w:rPr>
        <w:t> </w:t>
      </w:r>
    </w:p>
    <w:p w14:paraId="0ADF9738" w14:textId="77777777" w:rsidR="00753F01" w:rsidRDefault="00753F01" w:rsidP="00291B5E">
      <w:pPr>
        <w:shd w:val="clear" w:color="auto" w:fill="FFFFFF"/>
        <w:spacing w:after="0" w:line="240" w:lineRule="auto"/>
      </w:pPr>
    </w:p>
    <w:p w14:paraId="5E6ED3F5" w14:textId="791CEF01" w:rsidR="009449CB" w:rsidRPr="00F0462F" w:rsidRDefault="005E0EA8" w:rsidP="00F0462F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hyperlink r:id="rId8" w:history="1">
        <w:r w:rsidR="00291B5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BMJ</w:t>
        </w:r>
      </w:hyperlink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>:  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Topics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include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H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ow to submit an article for publication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plus a d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iscussion of the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P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ublication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procedure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>, including the peer review process, editorial policies and the BMJ style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 - as the r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 xml:space="preserve">esources are geared toward </w:t>
      </w:r>
      <w:r w:rsidR="00732B39">
        <w:rPr>
          <w:rFonts w:ascii="Arial" w:eastAsia="Times New Roman" w:hAnsi="Arial" w:cs="Arial"/>
          <w:color w:val="5E5F66"/>
          <w:sz w:val="20"/>
          <w:szCs w:val="20"/>
        </w:rPr>
        <w:t xml:space="preserve">submission to </w:t>
      </w:r>
      <w:r w:rsidR="002C2F91" w:rsidRPr="00F0462F">
        <w:rPr>
          <w:rFonts w:ascii="Arial" w:eastAsia="Times New Roman" w:hAnsi="Arial" w:cs="Arial"/>
          <w:color w:val="5E5F66"/>
          <w:sz w:val="20"/>
          <w:szCs w:val="20"/>
        </w:rPr>
        <w:t>one publisher’s journals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.</w:t>
      </w:r>
    </w:p>
    <w:p w14:paraId="57CC9985" w14:textId="144D2EEC" w:rsidR="00753F01" w:rsidRPr="00291B5E" w:rsidRDefault="00753F01" w:rsidP="00291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F66"/>
          <w:sz w:val="20"/>
          <w:szCs w:val="20"/>
        </w:rPr>
      </w:pPr>
    </w:p>
    <w:p w14:paraId="7F58BE24" w14:textId="0B3AE0F3" w:rsidR="00291B5E" w:rsidRPr="00291B5E" w:rsidRDefault="00291B5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noProof/>
          <w:color w:val="5E5F66"/>
          <w:sz w:val="20"/>
          <w:szCs w:val="20"/>
        </w:rPr>
        <w:drawing>
          <wp:inline distT="0" distB="0" distL="0" distR="0" wp14:anchorId="49AA00A9" wp14:editId="695C0BBA">
            <wp:extent cx="1327150" cy="571500"/>
            <wp:effectExtent l="0" t="0" r="6350" b="0"/>
            <wp:docPr id="6" name="Picture 6" descr="screen-shot-2016-09-22-at-1-42-51-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-shot-2016-09-22-at-1-42-51-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ABA9" w14:textId="3E95C280" w:rsidR="00291B5E" w:rsidRPr="00291B5E" w:rsidRDefault="00291B5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</w:p>
    <w:p w14:paraId="7E7A543F" w14:textId="14C888A8" w:rsidR="00291B5E" w:rsidRPr="00291B5E" w:rsidRDefault="005E0EA8" w:rsidP="00291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hyperlink r:id="rId10" w:history="1">
        <w:r w:rsidR="00291B5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Elsevier Researcher Academy</w:t>
        </w:r>
      </w:hyperlink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: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I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s a free e-learning platform designed to unlock the potential of early and mid-career researchers. 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Specific sections focus on 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>H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>ow to obtain funding for your research and manage research data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>,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 Improve your writing skills and 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>P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>ublish a research paper in a journal with a high impact factor</w:t>
      </w:r>
      <w:r w:rsidR="00F0462F">
        <w:rPr>
          <w:rFonts w:ascii="Arial" w:eastAsia="Times New Roman" w:hAnsi="Arial" w:cs="Arial"/>
          <w:color w:val="5E5F66"/>
          <w:sz w:val="20"/>
          <w:szCs w:val="20"/>
        </w:rPr>
        <w:t xml:space="preserve"> plus to 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Learn how to review a paper effectively, and </w:t>
      </w:r>
      <w:r w:rsidR="00944811" w:rsidRPr="00944811">
        <w:t>H</w:t>
      </w:r>
      <w:r w:rsidR="00291B5E" w:rsidRPr="00944811">
        <w:t>ow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 to respond to reviewer comments.</w:t>
      </w:r>
    </w:p>
    <w:p w14:paraId="35FEFDC8" w14:textId="7D1B8F88" w:rsidR="00291B5E" w:rsidRDefault="0068091A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>
        <w:rPr>
          <w:noProof/>
        </w:rPr>
        <w:drawing>
          <wp:inline distT="0" distB="0" distL="0" distR="0" wp14:anchorId="255E3FEF" wp14:editId="1D002A96">
            <wp:extent cx="2852677" cy="5778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3583" cy="5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B61B" w14:textId="7B76BCFC" w:rsidR="00291B5E" w:rsidRPr="00291B5E" w:rsidRDefault="005E0EA8" w:rsidP="00291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hyperlink r:id="rId12" w:history="1">
        <w:r w:rsidR="00291B5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Equator Network:</w:t>
        </w:r>
      </w:hyperlink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> The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 xml:space="preserve"> organization’s goal is to enhance the quality and transparency of health research.  The site is a ‘one-stop-shop for writing and publishing high-impact health research. 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 xml:space="preserve"> </w:t>
      </w:r>
      <w:r w:rsidR="00944811">
        <w:rPr>
          <w:rFonts w:ascii="Arial" w:eastAsia="Times New Roman" w:hAnsi="Arial" w:cs="Arial"/>
          <w:color w:val="5E5F66"/>
          <w:sz w:val="20"/>
          <w:szCs w:val="20"/>
        </w:rPr>
        <w:t xml:space="preserve">It includes toolkits on Writing research, Peer reviewing research and Teaching research skills plus a database on Health research </w:t>
      </w:r>
      <w:r w:rsidR="004E65A9">
        <w:rPr>
          <w:rFonts w:ascii="Arial" w:eastAsia="Times New Roman" w:hAnsi="Arial" w:cs="Arial"/>
          <w:color w:val="5E5F66"/>
          <w:sz w:val="20"/>
          <w:szCs w:val="20"/>
        </w:rPr>
        <w:t>reporting guidelines.</w:t>
      </w:r>
    </w:p>
    <w:p w14:paraId="3D08D21F" w14:textId="03DFDC0F" w:rsidR="00291B5E" w:rsidRDefault="00291B5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noProof/>
          <w:color w:val="5E5F66"/>
          <w:sz w:val="20"/>
          <w:szCs w:val="20"/>
        </w:rPr>
        <w:drawing>
          <wp:inline distT="0" distB="0" distL="0" distR="0" wp14:anchorId="3D49E89C" wp14:editId="291D6259">
            <wp:extent cx="2270342" cy="736600"/>
            <wp:effectExtent l="0" t="0" r="0" b="6350"/>
            <wp:docPr id="3" name="Picture 3" descr="http://www.research4life.org/wp-content/uploads/2016/09/Screen-Shot-2016-09-22-at-1.53.33-PM-300x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earch4life.org/wp-content/uploads/2016/09/Screen-Shot-2016-09-22-at-1.53.33-PM-300x9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62" cy="7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C31B" w14:textId="3F7B2817" w:rsidR="009449CB" w:rsidRPr="002C2F91" w:rsidRDefault="002C2F91" w:rsidP="002C2F91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C2F91">
        <w:rPr>
          <w:rFonts w:ascii="Arial" w:eastAsia="Times New Roman" w:hAnsi="Arial" w:cs="Arial"/>
          <w:color w:val="92D050"/>
          <w:sz w:val="20"/>
          <w:szCs w:val="20"/>
        </w:rPr>
        <w:t xml:space="preserve">Editage Insights:  </w:t>
      </w:r>
      <w:hyperlink r:id="rId14" w:history="1">
        <w:r w:rsidRPr="002C2F91">
          <w:rPr>
            <w:rStyle w:val="Hyperlink"/>
            <w:rFonts w:ascii="Arial" w:eastAsia="Times New Roman" w:hAnsi="Arial" w:cs="Arial"/>
            <w:sz w:val="20"/>
            <w:szCs w:val="20"/>
          </w:rPr>
          <w:t>www.editage.com/insights/</w:t>
        </w:r>
      </w:hyperlink>
      <w:r>
        <w:rPr>
          <w:rFonts w:ascii="Arial" w:eastAsia="Times New Roman" w:hAnsi="Arial" w:cs="Arial"/>
          <w:color w:val="5E5F66"/>
          <w:sz w:val="20"/>
          <w:szCs w:val="20"/>
        </w:rPr>
        <w:t xml:space="preserve"> 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I</w:t>
      </w:r>
      <w:r w:rsidR="004E65A9">
        <w:rPr>
          <w:rFonts w:ascii="Arial" w:eastAsia="Times New Roman" w:hAnsi="Arial" w:cs="Arial"/>
          <w:color w:val="5E5F66"/>
          <w:sz w:val="20"/>
          <w:szCs w:val="20"/>
        </w:rPr>
        <w:t>s a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 xml:space="preserve"> multilingual learning/discussion platform where researchers, authors &amp; publishers can learn about all aspects of scholarly publishing, stay updated about the latest trends and, and seek &amp; receive expert advice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.  Site contains 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 xml:space="preserve">sections on </w:t>
      </w:r>
      <w:r w:rsidR="004E65A9">
        <w:rPr>
          <w:rFonts w:ascii="Arial" w:eastAsia="Times New Roman" w:hAnsi="Arial" w:cs="Arial"/>
          <w:color w:val="5E5F66"/>
          <w:sz w:val="20"/>
          <w:szCs w:val="20"/>
        </w:rPr>
        <w:t>M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 xml:space="preserve">anuscript preparation &amp; </w:t>
      </w:r>
      <w:r w:rsidR="004E65A9">
        <w:rPr>
          <w:rFonts w:ascii="Arial" w:eastAsia="Times New Roman" w:hAnsi="Arial" w:cs="Arial"/>
          <w:color w:val="5E5F66"/>
          <w:sz w:val="20"/>
          <w:szCs w:val="20"/>
        </w:rPr>
        <w:t>P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 xml:space="preserve">ublication process plus numerous up-to-date articles and lists of </w:t>
      </w:r>
      <w:r w:rsidR="00732B39">
        <w:rPr>
          <w:rFonts w:ascii="Arial" w:eastAsia="Times New Roman" w:hAnsi="Arial" w:cs="Arial"/>
          <w:color w:val="5E5F66"/>
          <w:sz w:val="20"/>
          <w:szCs w:val="20"/>
        </w:rPr>
        <w:t>E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 xml:space="preserve">vents and </w:t>
      </w:r>
      <w:r w:rsidR="00732B39">
        <w:rPr>
          <w:rFonts w:ascii="Arial" w:eastAsia="Times New Roman" w:hAnsi="Arial" w:cs="Arial"/>
          <w:color w:val="5E5F66"/>
          <w:sz w:val="20"/>
          <w:szCs w:val="20"/>
        </w:rPr>
        <w:t>T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>raining program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s.  It also 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>contains a free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 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>personalized coaching option</w:t>
      </w:r>
      <w:r>
        <w:rPr>
          <w:rFonts w:ascii="Arial" w:eastAsia="Times New Roman" w:hAnsi="Arial" w:cs="Arial"/>
          <w:color w:val="5E5F66"/>
          <w:sz w:val="20"/>
          <w:szCs w:val="20"/>
        </w:rPr>
        <w:t>. R</w:t>
      </w:r>
      <w:r w:rsidRPr="002C2F91">
        <w:rPr>
          <w:rFonts w:ascii="Arial" w:eastAsia="Times New Roman" w:hAnsi="Arial" w:cs="Arial"/>
          <w:color w:val="5E5F66"/>
          <w:sz w:val="20"/>
          <w:szCs w:val="20"/>
        </w:rPr>
        <w:t>egistration is required but free</w:t>
      </w:r>
      <w:r>
        <w:rPr>
          <w:rFonts w:ascii="Arial" w:eastAsia="Times New Roman" w:hAnsi="Arial" w:cs="Arial"/>
          <w:color w:val="5E5F66"/>
          <w:sz w:val="20"/>
          <w:szCs w:val="20"/>
        </w:rPr>
        <w:t>.</w:t>
      </w:r>
    </w:p>
    <w:p w14:paraId="3E09F015" w14:textId="23C37286" w:rsidR="002C2F91" w:rsidRDefault="002C2F91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>
        <w:rPr>
          <w:noProof/>
        </w:rPr>
        <w:drawing>
          <wp:inline distT="0" distB="0" distL="0" distR="0" wp14:anchorId="6633BD82" wp14:editId="3D6A1744">
            <wp:extent cx="2253883" cy="5080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9698" cy="5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48F0" w14:textId="4E481987" w:rsidR="002C2F91" w:rsidRDefault="002C2F91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</w:p>
    <w:p w14:paraId="3F083798" w14:textId="77777777" w:rsidR="002C2F91" w:rsidRDefault="002C2F91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</w:p>
    <w:p w14:paraId="64C12765" w14:textId="5ACC91F5" w:rsidR="000F07AE" w:rsidRPr="000F07AE" w:rsidRDefault="005E0EA8" w:rsidP="000F07A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hyperlink r:id="rId16" w:history="1">
        <w:r w:rsidR="000F07A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Instructions to Authors in the Health Sciences:</w:t>
        </w:r>
      </w:hyperlink>
      <w:r w:rsidR="000F07AE" w:rsidRPr="00291B5E">
        <w:rPr>
          <w:rFonts w:ascii="Arial" w:eastAsia="Times New Roman" w:hAnsi="Arial" w:cs="Arial"/>
          <w:color w:val="5E5F66"/>
          <w:sz w:val="20"/>
          <w:szCs w:val="20"/>
        </w:rPr>
        <w:t> </w:t>
      </w:r>
      <w:r w:rsidR="00CE1FC9">
        <w:rPr>
          <w:rFonts w:ascii="Arial" w:eastAsia="Times New Roman" w:hAnsi="Arial" w:cs="Arial"/>
          <w:color w:val="5E5F66"/>
          <w:sz w:val="20"/>
          <w:szCs w:val="20"/>
        </w:rPr>
        <w:t>L</w:t>
      </w:r>
      <w:r w:rsidR="000F07AE" w:rsidRPr="00291B5E">
        <w:rPr>
          <w:rFonts w:ascii="Arial" w:eastAsia="Times New Roman" w:hAnsi="Arial" w:cs="Arial"/>
          <w:color w:val="5E5F66"/>
          <w:sz w:val="20"/>
          <w:szCs w:val="20"/>
        </w:rPr>
        <w:t>inks to websites that provide instructions to authors for over 6,000 journals in the health and life sciences.</w:t>
      </w:r>
      <w:r w:rsidR="000F07AE">
        <w:rPr>
          <w:rFonts w:ascii="Arial" w:eastAsia="Times New Roman" w:hAnsi="Arial" w:cs="Arial"/>
          <w:color w:val="5E5F66"/>
          <w:sz w:val="20"/>
          <w:szCs w:val="20"/>
        </w:rPr>
        <w:t xml:space="preserve"> </w:t>
      </w:r>
      <w:r w:rsidR="000F07AE" w:rsidRPr="000F07AE">
        <w:rPr>
          <w:rFonts w:ascii="Arial" w:eastAsia="Times New Roman" w:hAnsi="Arial" w:cs="Arial"/>
          <w:color w:val="5E5F66"/>
          <w:sz w:val="20"/>
          <w:szCs w:val="20"/>
        </w:rPr>
        <w:t>All links are to ‘primary sources’ - to publishers and organizations with editorial responsibilities for the titles</w:t>
      </w:r>
      <w:r w:rsidR="000F07AE">
        <w:rPr>
          <w:rFonts w:ascii="Arial" w:eastAsia="Times New Roman" w:hAnsi="Arial" w:cs="Arial"/>
          <w:color w:val="5E5F66"/>
          <w:sz w:val="20"/>
          <w:szCs w:val="20"/>
        </w:rPr>
        <w:t xml:space="preserve">.  </w:t>
      </w:r>
      <w:r w:rsidR="000F07AE" w:rsidRPr="000F07AE">
        <w:rPr>
          <w:rFonts w:ascii="Arial" w:eastAsia="Times New Roman" w:hAnsi="Arial" w:cs="Arial"/>
          <w:color w:val="5E5F66"/>
          <w:sz w:val="20"/>
          <w:szCs w:val="20"/>
        </w:rPr>
        <w:t>Access is via title/alphabetical listing or subject keyword or journal title searching</w:t>
      </w:r>
      <w:r w:rsidR="000F07AE">
        <w:rPr>
          <w:rFonts w:ascii="Arial" w:eastAsia="Times New Roman" w:hAnsi="Arial" w:cs="Arial"/>
          <w:color w:val="5E5F66"/>
          <w:sz w:val="20"/>
          <w:szCs w:val="20"/>
        </w:rPr>
        <w:t>.</w:t>
      </w:r>
    </w:p>
    <w:p w14:paraId="0EEA6CA5" w14:textId="5256C118" w:rsidR="000F07AE" w:rsidRDefault="000F07AE" w:rsidP="000F0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noProof/>
          <w:color w:val="5E5F66"/>
          <w:sz w:val="20"/>
          <w:szCs w:val="20"/>
        </w:rPr>
        <w:drawing>
          <wp:inline distT="0" distB="0" distL="0" distR="0" wp14:anchorId="653A96AD" wp14:editId="13B34657">
            <wp:extent cx="2743200" cy="457200"/>
            <wp:effectExtent l="0" t="0" r="0" b="0"/>
            <wp:docPr id="2" name="Picture 2" descr="http://www.research4life.org/wp-content/uploads/2016/09/Screen-Shot-2016-09-22-at-1.54.37-PM-30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earch4life.org/wp-content/uploads/2016/09/Screen-Shot-2016-09-22-at-1.54.37-PM-300x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C72E" w14:textId="77777777" w:rsidR="000F07AE" w:rsidRDefault="000F07A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</w:p>
    <w:p w14:paraId="4AB10DEC" w14:textId="77777777" w:rsidR="000F07AE" w:rsidRDefault="000F07AE" w:rsidP="00753F01">
      <w:pPr>
        <w:shd w:val="clear" w:color="auto" w:fill="FFFFFF"/>
        <w:tabs>
          <w:tab w:val="num" w:pos="720"/>
        </w:tabs>
        <w:spacing w:line="240" w:lineRule="auto"/>
        <w:rPr>
          <w:rFonts w:ascii="Arial" w:eastAsia="Times New Roman" w:hAnsi="Arial" w:cs="Arial"/>
          <w:color w:val="70AD47" w:themeColor="accent6"/>
          <w:sz w:val="20"/>
          <w:szCs w:val="20"/>
        </w:rPr>
      </w:pPr>
    </w:p>
    <w:p w14:paraId="5B95461C" w14:textId="70C34971" w:rsidR="009449CB" w:rsidRDefault="00753F01" w:rsidP="00753F01">
      <w:pPr>
        <w:shd w:val="clear" w:color="auto" w:fill="FFFFFF"/>
        <w:tabs>
          <w:tab w:val="num" w:pos="720"/>
        </w:tabs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68091A">
        <w:rPr>
          <w:rFonts w:ascii="Arial" w:eastAsia="Times New Roman" w:hAnsi="Arial" w:cs="Arial"/>
          <w:color w:val="70AD47" w:themeColor="accent6"/>
          <w:sz w:val="20"/>
          <w:szCs w:val="20"/>
        </w:rPr>
        <w:t>Oxford University Press - Library Resource Center</w:t>
      </w:r>
      <w:r w:rsidR="0068091A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(</w:t>
      </w:r>
      <w:hyperlink r:id="rId18" w:history="1">
        <w:r w:rsidR="0068091A" w:rsidRPr="00753F01">
          <w:rPr>
            <w:rStyle w:val="Hyperlink"/>
            <w:rFonts w:ascii="Arial" w:eastAsia="Times New Roman" w:hAnsi="Arial" w:cs="Arial"/>
            <w:sz w:val="20"/>
            <w:szCs w:val="20"/>
          </w:rPr>
          <w:t>https://global.oup.com/academic/librarians/</w:t>
        </w:r>
      </w:hyperlink>
      <w:r w:rsidR="0068091A">
        <w:rPr>
          <w:rFonts w:ascii="Arial" w:eastAsia="Times New Roman" w:hAnsi="Arial" w:cs="Arial"/>
          <w:color w:val="5E5F66"/>
          <w:sz w:val="20"/>
          <w:szCs w:val="20"/>
        </w:rPr>
        <w:t>)</w:t>
      </w:r>
      <w:r w:rsidRPr="0068091A">
        <w:rPr>
          <w:rFonts w:ascii="Arial" w:eastAsia="Times New Roman" w:hAnsi="Arial" w:cs="Arial"/>
          <w:color w:val="70AD47" w:themeColor="accent6"/>
          <w:sz w:val="20"/>
          <w:szCs w:val="20"/>
        </w:rPr>
        <w:t xml:space="preserve"> 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 xml:space="preserve">is the central point for all OUP self-serve training materials.  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The 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 xml:space="preserve">Navigating Research </w:t>
      </w:r>
      <w:r>
        <w:rPr>
          <w:rFonts w:ascii="Arial" w:eastAsia="Times New Roman" w:hAnsi="Arial" w:cs="Arial"/>
          <w:color w:val="5E5F66"/>
          <w:sz w:val="20"/>
          <w:szCs w:val="20"/>
        </w:rPr>
        <w:t>section discuss</w:t>
      </w:r>
      <w:r w:rsidR="008414BF">
        <w:rPr>
          <w:rFonts w:ascii="Arial" w:eastAsia="Times New Roman" w:hAnsi="Arial" w:cs="Arial"/>
          <w:color w:val="5E5F66"/>
          <w:sz w:val="20"/>
          <w:szCs w:val="20"/>
        </w:rPr>
        <w:t>es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 h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>ow academic users understand, discover, and utilize reference resources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.  The 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>Learn About Your Resources, Manage Your Resources and Promote Your Resources</w:t>
      </w:r>
      <w:r>
        <w:rPr>
          <w:rFonts w:ascii="Arial" w:eastAsia="Times New Roman" w:hAnsi="Arial" w:cs="Arial"/>
          <w:color w:val="5E5F66"/>
          <w:sz w:val="20"/>
          <w:szCs w:val="20"/>
        </w:rPr>
        <w:t xml:space="preserve"> sections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 xml:space="preserve"> focus on how to effectively use the OUP resources that are available via the R4L programm</w:t>
      </w:r>
      <w:r>
        <w:rPr>
          <w:rFonts w:ascii="Arial" w:eastAsia="Times New Roman" w:hAnsi="Arial" w:cs="Arial"/>
          <w:color w:val="5E5F66"/>
          <w:sz w:val="20"/>
          <w:szCs w:val="20"/>
        </w:rPr>
        <w:t>e</w:t>
      </w:r>
      <w:r w:rsidR="002C2F91" w:rsidRPr="00753F01">
        <w:rPr>
          <w:rFonts w:ascii="Arial" w:eastAsia="Times New Roman" w:hAnsi="Arial" w:cs="Arial"/>
          <w:color w:val="5E5F66"/>
          <w:sz w:val="20"/>
          <w:szCs w:val="20"/>
        </w:rPr>
        <w:t>s including many found in the Reference Sources menu</w:t>
      </w:r>
      <w:r w:rsidR="004E65A9">
        <w:rPr>
          <w:rFonts w:ascii="Arial" w:eastAsia="Times New Roman" w:hAnsi="Arial" w:cs="Arial"/>
          <w:color w:val="5E5F66"/>
          <w:sz w:val="20"/>
          <w:szCs w:val="20"/>
        </w:rPr>
        <w:t>s.</w:t>
      </w:r>
    </w:p>
    <w:p w14:paraId="3ABD04C6" w14:textId="4E5F428A" w:rsidR="0068091A" w:rsidRPr="00753F01" w:rsidRDefault="0068091A" w:rsidP="00753F01">
      <w:pPr>
        <w:shd w:val="clear" w:color="auto" w:fill="FFFFFF"/>
        <w:tabs>
          <w:tab w:val="num" w:pos="720"/>
        </w:tabs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>
        <w:rPr>
          <w:noProof/>
        </w:rPr>
        <w:drawing>
          <wp:inline distT="0" distB="0" distL="0" distR="0" wp14:anchorId="37887682" wp14:editId="72160592">
            <wp:extent cx="1822450" cy="67450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2935" cy="68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E83A" w14:textId="35663A3C" w:rsidR="009449CB" w:rsidRPr="007D3FFC" w:rsidRDefault="005E0EA8" w:rsidP="007D3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hyperlink r:id="rId20" w:history="1">
        <w:r w:rsidR="00291B5E" w:rsidRPr="007D3FFC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Wiley-Blackwell Author Services: </w:t>
        </w:r>
      </w:hyperlink>
      <w:r w:rsidR="00732B39">
        <w:rPr>
          <w:rFonts w:ascii="Arial" w:eastAsia="Times New Roman" w:hAnsi="Arial" w:cs="Arial"/>
          <w:color w:val="5E5F66"/>
          <w:sz w:val="20"/>
          <w:szCs w:val="20"/>
        </w:rPr>
        <w:t>C</w:t>
      </w:r>
      <w:r w:rsidR="007D3FFC" w:rsidRPr="007D3FFC">
        <w:rPr>
          <w:rFonts w:ascii="Arial" w:eastAsia="Times New Roman" w:hAnsi="Arial" w:cs="Arial"/>
          <w:color w:val="5E5F66"/>
          <w:sz w:val="20"/>
          <w:szCs w:val="20"/>
        </w:rPr>
        <w:t>ontains d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 xml:space="preserve">ocuments to assist authors in </w:t>
      </w:r>
      <w:r w:rsidR="008414BF">
        <w:rPr>
          <w:rFonts w:ascii="Arial" w:eastAsia="Times New Roman" w:hAnsi="Arial" w:cs="Arial"/>
          <w:color w:val="5E5F66"/>
          <w:sz w:val="20"/>
          <w:szCs w:val="20"/>
        </w:rPr>
        <w:t>P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 xml:space="preserve">reparing and submitting publications plus specific </w:t>
      </w:r>
      <w:r w:rsidR="008414BF">
        <w:rPr>
          <w:rFonts w:ascii="Arial" w:eastAsia="Times New Roman" w:hAnsi="Arial" w:cs="Arial"/>
          <w:color w:val="5E5F66"/>
          <w:sz w:val="20"/>
          <w:szCs w:val="20"/>
        </w:rPr>
        <w:t>R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 xml:space="preserve">eviewers &amp; </w:t>
      </w:r>
      <w:r w:rsidR="008414BF">
        <w:rPr>
          <w:rFonts w:ascii="Arial" w:eastAsia="Times New Roman" w:hAnsi="Arial" w:cs="Arial"/>
          <w:color w:val="5E5F66"/>
          <w:sz w:val="20"/>
          <w:szCs w:val="20"/>
        </w:rPr>
        <w:t>E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>ditors sections</w:t>
      </w:r>
      <w:r w:rsidR="007D3FFC" w:rsidRPr="007D3FFC">
        <w:rPr>
          <w:rFonts w:ascii="Arial" w:eastAsia="Times New Roman" w:hAnsi="Arial" w:cs="Arial"/>
          <w:color w:val="5E5F66"/>
          <w:sz w:val="20"/>
          <w:szCs w:val="20"/>
        </w:rPr>
        <w:t xml:space="preserve">; material designed 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>to assist the submission of papers to this publisher</w:t>
      </w:r>
      <w:r w:rsidR="007D3FFC" w:rsidRPr="007D3FFC">
        <w:rPr>
          <w:rFonts w:ascii="Arial" w:eastAsia="Times New Roman" w:hAnsi="Arial" w:cs="Arial"/>
          <w:color w:val="5E5F66"/>
          <w:sz w:val="20"/>
          <w:szCs w:val="20"/>
        </w:rPr>
        <w:t xml:space="preserve">; </w:t>
      </w:r>
      <w:r w:rsidR="002C2F91" w:rsidRPr="007D3FFC">
        <w:rPr>
          <w:rFonts w:ascii="Arial" w:eastAsia="Times New Roman" w:hAnsi="Arial" w:cs="Arial"/>
          <w:color w:val="5E5F66"/>
          <w:sz w:val="20"/>
          <w:szCs w:val="20"/>
        </w:rPr>
        <w:t>Includes the Wiley Exchange Blog for latest tips, trends and best practices</w:t>
      </w:r>
      <w:r w:rsidR="000F07AE">
        <w:rPr>
          <w:rFonts w:ascii="Arial" w:eastAsia="Times New Roman" w:hAnsi="Arial" w:cs="Arial"/>
          <w:color w:val="5E5F66"/>
          <w:sz w:val="20"/>
          <w:szCs w:val="20"/>
        </w:rPr>
        <w:t>.</w:t>
      </w:r>
      <w:r w:rsidR="00392B98">
        <w:rPr>
          <w:rFonts w:ascii="Arial" w:eastAsia="Times New Roman" w:hAnsi="Arial" w:cs="Arial"/>
          <w:color w:val="5E5F66"/>
          <w:sz w:val="20"/>
          <w:szCs w:val="20"/>
        </w:rPr>
        <w:t xml:space="preserve">  Free Registration/Login is required.</w:t>
      </w:r>
    </w:p>
    <w:p w14:paraId="4F9BFC51" w14:textId="522715A1" w:rsidR="00291B5E" w:rsidRPr="00291B5E" w:rsidRDefault="00291B5E" w:rsidP="00291B5E">
      <w:pPr>
        <w:shd w:val="clear" w:color="auto" w:fill="FFFFFF"/>
        <w:spacing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 w:rsidRPr="00291B5E">
        <w:rPr>
          <w:rFonts w:ascii="Arial" w:eastAsia="Times New Roman" w:hAnsi="Arial" w:cs="Arial"/>
          <w:noProof/>
          <w:color w:val="5E5F66"/>
          <w:sz w:val="20"/>
          <w:szCs w:val="20"/>
        </w:rPr>
        <w:drawing>
          <wp:inline distT="0" distB="0" distL="0" distR="0" wp14:anchorId="1FB8E751" wp14:editId="10C78ADE">
            <wp:extent cx="1428750" cy="546100"/>
            <wp:effectExtent l="0" t="0" r="0" b="6350"/>
            <wp:docPr id="1" name="Picture 1" descr="http://www.research4life.org/wp-content/uploads/2016/09/Screen-Shot-2016-09-22-at-1.56.02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search4life.org/wp-content/uploads/2016/09/Screen-Shot-2016-09-22-at-1.56.02-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E085" w14:textId="7521D507" w:rsidR="00B940B6" w:rsidRDefault="000F07AE" w:rsidP="000F07AE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5E5F66"/>
          <w:sz w:val="20"/>
          <w:szCs w:val="20"/>
        </w:rPr>
      </w:pPr>
      <w:r>
        <w:rPr>
          <w:rFonts w:ascii="Arial" w:eastAsia="Times New Roman" w:hAnsi="Arial" w:cs="Arial"/>
          <w:color w:val="5E5F66"/>
          <w:sz w:val="20"/>
          <w:szCs w:val="20"/>
        </w:rPr>
        <w:t>F</w:t>
      </w:r>
      <w:r w:rsidR="00291B5E" w:rsidRPr="00291B5E">
        <w:rPr>
          <w:rFonts w:ascii="Arial" w:eastAsia="Times New Roman" w:hAnsi="Arial" w:cs="Arial"/>
          <w:color w:val="5E5F66"/>
          <w:sz w:val="20"/>
          <w:szCs w:val="20"/>
        </w:rPr>
        <w:t>or more resources, visit Research4Life </w:t>
      </w:r>
      <w:hyperlink r:id="rId22" w:history="1">
        <w:r w:rsidR="00291B5E" w:rsidRPr="00291B5E">
          <w:rPr>
            <w:rFonts w:ascii="Arial" w:eastAsia="Times New Roman" w:hAnsi="Arial" w:cs="Arial"/>
            <w:color w:val="50B948"/>
            <w:sz w:val="20"/>
            <w:szCs w:val="20"/>
            <w:u w:val="single"/>
          </w:rPr>
          <w:t>Authorship Skills/Web Bibliography</w:t>
        </w:r>
      </w:hyperlink>
      <w:r w:rsidR="00732B39">
        <w:rPr>
          <w:rFonts w:ascii="Arial" w:eastAsia="Times New Roman" w:hAnsi="Arial" w:cs="Arial"/>
          <w:color w:val="50B948"/>
          <w:sz w:val="20"/>
          <w:szCs w:val="20"/>
          <w:u w:val="single"/>
        </w:rPr>
        <w:t>:</w:t>
      </w:r>
      <w:r w:rsidR="00B940B6">
        <w:rPr>
          <w:rFonts w:ascii="Arial" w:eastAsia="Times New Roman" w:hAnsi="Arial" w:cs="Arial"/>
          <w:color w:val="5E5F66"/>
          <w:sz w:val="20"/>
          <w:szCs w:val="20"/>
        </w:rPr>
        <w:t xml:space="preserve">    </w:t>
      </w:r>
      <w:r w:rsidR="00732B39">
        <w:rPr>
          <w:rFonts w:ascii="Arial" w:eastAsia="Times New Roman" w:hAnsi="Arial" w:cs="Arial"/>
          <w:color w:val="5E5F66"/>
          <w:sz w:val="20"/>
          <w:szCs w:val="20"/>
        </w:rPr>
        <w:t>Contains</w:t>
      </w:r>
      <w:r w:rsidR="00D6503B">
        <w:rPr>
          <w:rFonts w:ascii="Arial" w:eastAsia="Times New Roman" w:hAnsi="Arial" w:cs="Arial"/>
          <w:color w:val="5E5F66"/>
          <w:sz w:val="20"/>
          <w:szCs w:val="20"/>
        </w:rPr>
        <w:t xml:space="preserve"> annotated links</w:t>
      </w:r>
      <w:r w:rsidR="00E560E3">
        <w:rPr>
          <w:rFonts w:ascii="Arial" w:eastAsia="Times New Roman" w:hAnsi="Arial" w:cs="Arial"/>
          <w:color w:val="5E5F66"/>
          <w:sz w:val="20"/>
          <w:szCs w:val="20"/>
        </w:rPr>
        <w:t xml:space="preserve"> that are</w:t>
      </w:r>
      <w:r w:rsidR="0068091A">
        <w:rPr>
          <w:rFonts w:ascii="Arial" w:eastAsia="Times New Roman" w:hAnsi="Arial" w:cs="Arial"/>
          <w:color w:val="5E5F66"/>
          <w:sz w:val="20"/>
          <w:szCs w:val="20"/>
        </w:rPr>
        <w:t xml:space="preserve"> organized into topical sections:   Multiple Topic Sites, Footnotes &amp; Bibliographies, Intellectual Property: Copyright &amp; Plagiarism, Publishing/Editing/Ethical Issues/Peer Review, Reading Scientific Papers, Research Resources, Submission of Research Papers &amp; Writing Skills.</w:t>
      </w:r>
      <w:r w:rsidR="00732B39">
        <w:rPr>
          <w:rFonts w:ascii="Arial" w:eastAsia="Times New Roman" w:hAnsi="Arial" w:cs="Arial"/>
          <w:color w:val="5E5F66"/>
          <w:sz w:val="20"/>
          <w:szCs w:val="20"/>
        </w:rPr>
        <w:t xml:space="preserve">  Links are reviewed every 4-6 months.</w:t>
      </w:r>
    </w:p>
    <w:p w14:paraId="0F53EA3D" w14:textId="14B3514A" w:rsidR="00620F38" w:rsidRDefault="0068091A">
      <w:r>
        <w:rPr>
          <w:noProof/>
        </w:rPr>
        <w:drawing>
          <wp:inline distT="0" distB="0" distL="0" distR="0" wp14:anchorId="795F4ADC" wp14:editId="44F5B34C">
            <wp:extent cx="1562100" cy="5023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9911" cy="5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23051" w14:textId="2C313DBF" w:rsidR="005E0EA8" w:rsidRDefault="005E0EA8">
      <w:r>
        <w:t>Updated 2018-12</w:t>
      </w:r>
      <w:bookmarkStart w:id="0" w:name="_GoBack"/>
      <w:bookmarkEnd w:id="0"/>
    </w:p>
    <w:p w14:paraId="548CD5CA" w14:textId="1FB574F0" w:rsidR="00620F38" w:rsidRDefault="00620F38" w:rsidP="00620F38">
      <w:pPr>
        <w:jc w:val="center"/>
      </w:pPr>
      <w:r>
        <w:rPr>
          <w:noProof/>
        </w:rPr>
        <w:drawing>
          <wp:inline distT="0" distB="0" distL="0" distR="0" wp14:anchorId="1CE1BAC7" wp14:editId="1AC71F1D">
            <wp:extent cx="2486025" cy="8572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F38" w:rsidSect="00620F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6359"/>
    <w:multiLevelType w:val="hybridMultilevel"/>
    <w:tmpl w:val="1C5AEB6A"/>
    <w:lvl w:ilvl="0" w:tplc="DD326E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8A4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605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C4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4E4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CBC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AC1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8F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E92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914"/>
    <w:multiLevelType w:val="hybridMultilevel"/>
    <w:tmpl w:val="0390E9C0"/>
    <w:lvl w:ilvl="0" w:tplc="20B89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85B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8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6EA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EAF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0E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63E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66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01E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F59"/>
    <w:multiLevelType w:val="hybridMultilevel"/>
    <w:tmpl w:val="4FC495B2"/>
    <w:lvl w:ilvl="0" w:tplc="74E4B3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C5E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2B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ACA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AB2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8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57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40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C4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5D6F"/>
    <w:multiLevelType w:val="hybridMultilevel"/>
    <w:tmpl w:val="7E3673BC"/>
    <w:lvl w:ilvl="0" w:tplc="68867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860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59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A7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0CC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0E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C3C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012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9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817"/>
    <w:multiLevelType w:val="hybridMultilevel"/>
    <w:tmpl w:val="0E7AA342"/>
    <w:lvl w:ilvl="0" w:tplc="ABE0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4D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A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47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62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4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A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6C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F640FD"/>
    <w:multiLevelType w:val="hybridMultilevel"/>
    <w:tmpl w:val="E7623006"/>
    <w:lvl w:ilvl="0" w:tplc="A9F0C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6BA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6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4CE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7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E50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64E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8A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E54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E"/>
    <w:rsid w:val="000F07AE"/>
    <w:rsid w:val="00291B5E"/>
    <w:rsid w:val="002C0DBC"/>
    <w:rsid w:val="002C2F91"/>
    <w:rsid w:val="0038427D"/>
    <w:rsid w:val="00392B98"/>
    <w:rsid w:val="004E65A9"/>
    <w:rsid w:val="005E0EA8"/>
    <w:rsid w:val="00620F38"/>
    <w:rsid w:val="0068091A"/>
    <w:rsid w:val="00720087"/>
    <w:rsid w:val="00732B39"/>
    <w:rsid w:val="00753F01"/>
    <w:rsid w:val="007D3FFC"/>
    <w:rsid w:val="008414BF"/>
    <w:rsid w:val="008E4FE8"/>
    <w:rsid w:val="00944811"/>
    <w:rsid w:val="009449CB"/>
    <w:rsid w:val="00A87A45"/>
    <w:rsid w:val="00B940B6"/>
    <w:rsid w:val="00CE1FC9"/>
    <w:rsid w:val="00D6503B"/>
    <w:rsid w:val="00E560E3"/>
    <w:rsid w:val="00F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A53A"/>
  <w15:chartTrackingRefBased/>
  <w15:docId w15:val="{57683D87-7E1D-45AF-B38D-DD003CC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0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0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B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1B5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940B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0B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3F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4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2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7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62083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3636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9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2914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1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549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8195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21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9014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1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2642">
              <w:marLeft w:val="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9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about-bmj/resources-%20author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global.oup.com/academic/libraria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equator-network.org/library/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lford.utoledo.edu/instr/" TargetMode="External"/><Relationship Id="rId20" Type="http://schemas.openxmlformats.org/officeDocument/2006/relationships/hyperlink" Target="http://authorservices.wile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thoraid.info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researcheracademy.elsevier.com/learn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itage.com/insights/" TargetMode="External"/><Relationship Id="rId22" Type="http://schemas.openxmlformats.org/officeDocument/2006/relationships/hyperlink" Target="http://www.research4life.org/training/authorship-skills-%2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Rhine,Leonard A</cp:lastModifiedBy>
  <cp:revision>2</cp:revision>
  <dcterms:created xsi:type="dcterms:W3CDTF">2018-12-17T18:36:00Z</dcterms:created>
  <dcterms:modified xsi:type="dcterms:W3CDTF">2018-12-17T18:36:00Z</dcterms:modified>
</cp:coreProperties>
</file>